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CA4F" w14:textId="77777777" w:rsidR="00EA23F5" w:rsidRPr="000C68FF" w:rsidRDefault="00EA23F5" w:rsidP="00EA23F5">
      <w:pPr>
        <w:spacing w:line="658" w:lineRule="exact"/>
        <w:ind w:left="114"/>
        <w:rPr>
          <w:rFonts w:ascii="微軟正黑體" w:eastAsia="微軟正黑體" w:hAnsi="微軟正黑體" w:cs="Corbel"/>
          <w:sz w:val="52"/>
          <w:szCs w:val="52"/>
          <w:lang w:eastAsia="zh-TW"/>
        </w:rPr>
      </w:pPr>
      <w:r w:rsidRPr="000C68FF">
        <w:rPr>
          <w:rFonts w:ascii="微軟正黑體" w:eastAsia="微軟正黑體" w:hAnsi="微軟正黑體" w:cs="MingLiU" w:hint="eastAsia"/>
          <w:b/>
          <w:bCs/>
          <w:color w:val="006600"/>
          <w:sz w:val="52"/>
          <w:szCs w:val="52"/>
          <w:lang w:eastAsia="zh-TW"/>
        </w:rPr>
        <w:t>申請接駁電網簡易</w:t>
      </w:r>
      <w:r w:rsidRPr="000C68FF">
        <w:rPr>
          <w:rFonts w:ascii="微軟正黑體" w:eastAsia="微軟正黑體" w:hAnsi="微軟正黑體" w:cs="Corbel"/>
          <w:b/>
          <w:bCs/>
          <w:color w:val="006600"/>
          <w:sz w:val="52"/>
          <w:szCs w:val="52"/>
          <w:lang w:eastAsia="zh-TW"/>
        </w:rPr>
        <w:t>4</w:t>
      </w:r>
      <w:r w:rsidRPr="000C68FF">
        <w:rPr>
          <w:rFonts w:ascii="微軟正黑體" w:eastAsia="微軟正黑體" w:hAnsi="微軟正黑體" w:cs="MingLiU" w:hint="eastAsia"/>
          <w:b/>
          <w:bCs/>
          <w:color w:val="006600"/>
          <w:sz w:val="52"/>
          <w:szCs w:val="52"/>
          <w:lang w:eastAsia="zh-TW"/>
        </w:rPr>
        <w:t>步曲</w:t>
      </w:r>
    </w:p>
    <w:p w14:paraId="484323D9" w14:textId="77777777" w:rsidR="00EA23F5" w:rsidRPr="000C68FF" w:rsidRDefault="00EA23F5" w:rsidP="00B61C83">
      <w:pPr>
        <w:spacing w:line="200" w:lineRule="exact"/>
        <w:jc w:val="both"/>
        <w:rPr>
          <w:rFonts w:ascii="微軟正黑體" w:eastAsia="微軟正黑體" w:hAnsi="微軟正黑體"/>
          <w:sz w:val="18"/>
          <w:szCs w:val="18"/>
          <w:lang w:eastAsia="zh-TW"/>
        </w:rPr>
      </w:pPr>
    </w:p>
    <w:p w14:paraId="6082A680" w14:textId="77777777" w:rsidR="00DF4D50" w:rsidRPr="000C68FF" w:rsidRDefault="00EA23F5" w:rsidP="000C68FF">
      <w:pPr>
        <w:numPr>
          <w:ilvl w:val="0"/>
          <w:numId w:val="1"/>
        </w:numPr>
        <w:tabs>
          <w:tab w:val="left" w:pos="654"/>
        </w:tabs>
        <w:ind w:left="654"/>
        <w:jc w:val="both"/>
        <w:rPr>
          <w:rFonts w:ascii="微軟正黑體" w:eastAsia="微軟正黑體" w:hAnsi="微軟正黑體" w:cs="Arial"/>
          <w:lang w:eastAsia="zh-TW"/>
        </w:rPr>
      </w:pPr>
      <w:r w:rsidRPr="000C68FF">
        <w:rPr>
          <w:rFonts w:ascii="微軟正黑體" w:eastAsia="微軟正黑體" w:hAnsi="微軟正黑體" w:cs="MingLiU" w:hint="eastAsia"/>
          <w:lang w:eastAsia="zh-TW"/>
        </w:rPr>
        <w:t>填寫</w:t>
      </w:r>
      <w:r w:rsidR="00DF4D50" w:rsidRPr="000C68FF">
        <w:rPr>
          <w:rFonts w:ascii="微軟正黑體" w:eastAsia="微軟正黑體" w:hAnsi="微軟正黑體" w:cs="MingLiU" w:hint="eastAsia"/>
          <w:lang w:eastAsia="zh-TW"/>
        </w:rPr>
        <w:t>合</w:t>
      </w:r>
      <w:r w:rsidR="00DF4D50" w:rsidRPr="000C68FF">
        <w:rPr>
          <w:rFonts w:ascii="微軟正黑體" w:eastAsia="微軟正黑體" w:hAnsi="微軟正黑體" w:hint="eastAsia"/>
          <w:lang w:eastAsia="zh-TW"/>
        </w:rPr>
        <w:t>適</w:t>
      </w:r>
      <w:r w:rsidR="00DF4D50" w:rsidRPr="000C68FF">
        <w:rPr>
          <w:rFonts w:ascii="微軟正黑體" w:eastAsia="微軟正黑體" w:hAnsi="微軟正黑體" w:cs="MingLiU" w:hint="eastAsia"/>
          <w:lang w:eastAsia="zh-TW"/>
        </w:rPr>
        <w:t>表格</w:t>
      </w:r>
    </w:p>
    <w:p w14:paraId="2C5B16B3" w14:textId="38170164" w:rsidR="00DF4D50" w:rsidRPr="00E54C37" w:rsidRDefault="00DF4D50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 w:cs="微軟正黑體"/>
          <w:sz w:val="22"/>
          <w:szCs w:val="22"/>
          <w:lang w:eastAsia="zh-TW"/>
        </w:rPr>
      </w:pPr>
      <w:hyperlink r:id="rId12" w:history="1">
        <w:r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太陽能及風能可再生能源系統</w:t>
        </w:r>
        <w:r w:rsidR="007419DF" w:rsidRPr="00E54C37">
          <w:rPr>
            <w:rStyle w:val="Hyperlink"/>
            <w:rFonts w:ascii="微軟正黑體" w:eastAsia="微軟正黑體" w:hAnsi="微軟正黑體" w:cs="微軟正黑體"/>
            <w:sz w:val="22"/>
            <w:szCs w:val="22"/>
            <w:lang w:eastAsia="zh-TW"/>
          </w:rPr>
          <w:t>/</w:t>
        </w:r>
        <w:r w:rsidR="007419DF"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電池儲能系統</w:t>
        </w:r>
        <w:r w:rsidR="00BC5977"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發電</w:t>
        </w:r>
        <w:r w:rsidR="00223531"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容量</w:t>
        </w:r>
        <w:r w:rsidRPr="00E54C37">
          <w:rPr>
            <w:rStyle w:val="Hyperlink"/>
            <w:rFonts w:ascii="微軟正黑體" w:eastAsia="微軟正黑體" w:hAnsi="微軟正黑體" w:cs="微軟正黑體"/>
            <w:sz w:val="22"/>
            <w:szCs w:val="22"/>
            <w:lang w:eastAsia="zh-TW"/>
          </w:rPr>
          <w:t xml:space="preserve"> </w:t>
        </w:r>
        <w:r w:rsidRPr="00E54C37">
          <w:rPr>
            <w:rStyle w:val="Hyperlink"/>
            <w:rFonts w:eastAsia="微軟正黑體" w:cs="Arial"/>
            <w:sz w:val="22"/>
            <w:szCs w:val="22"/>
            <w:lang w:eastAsia="zh-TW"/>
          </w:rPr>
          <w:t>≤</w:t>
        </w:r>
        <w:r w:rsidRPr="00E54C37">
          <w:rPr>
            <w:rStyle w:val="Hyperlink"/>
            <w:rFonts w:ascii="微軟正黑體" w:eastAsia="微軟正黑體" w:hAnsi="微軟正黑體" w:cs="微軟正黑體"/>
            <w:sz w:val="22"/>
            <w:szCs w:val="22"/>
            <w:lang w:eastAsia="zh-TW"/>
          </w:rPr>
          <w:t xml:space="preserve"> 1MW</w:t>
        </w:r>
      </w:hyperlink>
    </w:p>
    <w:p w14:paraId="52C30C14" w14:textId="4392A934" w:rsidR="00EA23F5" w:rsidRPr="00E54C37" w:rsidRDefault="00DF4D50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</w:pPr>
      <w:hyperlink r:id="rId13" w:history="1">
        <w:r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上述之</w:t>
        </w:r>
        <w:r w:rsidR="00950513" w:rsidRPr="00E54C37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項目</w:t>
        </w:r>
        <w:r w:rsidRPr="00E54C37">
          <w:rPr>
            <w:rStyle w:val="Hyperlink"/>
            <w:rFonts w:ascii="微軟正黑體" w:eastAsia="微軟正黑體" w:hAnsi="微軟正黑體" w:cs="微軟正黑體"/>
            <w:sz w:val="22"/>
            <w:szCs w:val="22"/>
            <w:lang w:eastAsia="zh-TW"/>
          </w:rPr>
          <w:t>1a以外的可再生能源系統</w:t>
        </w:r>
        <w:r w:rsidR="007419DF" w:rsidRPr="00E54C37">
          <w:rPr>
            <w:rStyle w:val="Hyperlink"/>
            <w:rFonts w:ascii="微軟正黑體" w:eastAsia="微軟正黑體" w:hAnsi="微軟正黑體" w:cs="微軟正黑體"/>
            <w:sz w:val="22"/>
            <w:szCs w:val="22"/>
            <w:lang w:eastAsia="zh-TW"/>
          </w:rPr>
          <w:t>/</w:t>
        </w:r>
        <w:r w:rsidR="007419DF" w:rsidRPr="00E54C37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電池儲能系統</w:t>
        </w:r>
      </w:hyperlink>
    </w:p>
    <w:p w14:paraId="1FB349B6" w14:textId="5A9DFAC3" w:rsidR="00EA23F5" w:rsidRPr="000C68FF" w:rsidRDefault="00EA23F5" w:rsidP="000C68FF">
      <w:pPr>
        <w:pStyle w:val="BodyText"/>
        <w:numPr>
          <w:ilvl w:val="0"/>
          <w:numId w:val="1"/>
        </w:numPr>
        <w:tabs>
          <w:tab w:val="left" w:pos="654"/>
        </w:tabs>
        <w:spacing w:before="54"/>
        <w:ind w:left="654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當你設計適合接駁電網的可再生能源系統</w:t>
      </w:r>
      <w:r w:rsidR="007419DF" w:rsidRPr="000C68FF">
        <w:rPr>
          <w:rFonts w:ascii="微軟正黑體" w:eastAsia="微軟正黑體" w:hAnsi="微軟正黑體"/>
          <w:sz w:val="22"/>
          <w:szCs w:val="22"/>
          <w:lang w:eastAsia="zh-TW"/>
        </w:rPr>
        <w:t>/</w:t>
      </w:r>
      <w:r w:rsidR="007419DF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電池儲能系統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時，你需要考慮</w:t>
      </w:r>
      <w:r w:rsidRPr="000C68FF">
        <w:rPr>
          <w:rFonts w:ascii="微軟正黑體" w:eastAsia="微軟正黑體" w:hAnsi="微軟正黑體" w:cs="新細明體" w:hint="eastAsia"/>
          <w:sz w:val="22"/>
          <w:szCs w:val="22"/>
          <w:lang w:eastAsia="zh-TW"/>
        </w:rPr>
        <w:t>：</w:t>
      </w:r>
    </w:p>
    <w:p w14:paraId="3C1F9AEB" w14:textId="498D9D40" w:rsidR="00EA23F5" w:rsidRPr="000C68FF" w:rsidRDefault="00CC20EB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  <w:lang w:eastAsia="zh-TW"/>
        </w:rPr>
      </w:pPr>
      <w:hyperlink r:id="rId14" w:history="1">
        <w:r w:rsidRPr="00E54C37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小型可再生能源/電池儲能系統與電網接駁的技術設計指引</w:t>
        </w:r>
      </w:hyperlink>
    </w:p>
    <w:p w14:paraId="61F4FD17" w14:textId="05828DE3" w:rsidR="00867B9D" w:rsidRPr="000C68FF" w:rsidRDefault="006973C4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  <w:lang w:eastAsia="zh-TW"/>
        </w:rPr>
      </w:pPr>
      <w:hyperlink r:id="rId15" w:history="1">
        <w:r w:rsidRPr="004E29DD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接駁至中電電網的要求</w:t>
        </w:r>
      </w:hyperlink>
      <w:r w:rsidR="00867B9D" w:rsidRPr="00E54C37">
        <w:rPr>
          <w:rFonts w:ascii="微軟正黑體" w:eastAsia="微軟正黑體" w:hAnsi="微軟正黑體"/>
          <w:sz w:val="22"/>
          <w:szCs w:val="22"/>
          <w:lang w:eastAsia="zh-TW"/>
        </w:rPr>
        <w:t xml:space="preserve"> (</w:t>
      </w:r>
      <w:r w:rsidR="00867B9D"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於2026年</w:t>
      </w:r>
      <w:r w:rsidR="00CE040F">
        <w:rPr>
          <w:rFonts w:ascii="微軟正黑體" w:eastAsia="微軟正黑體" w:hAnsi="微軟正黑體"/>
          <w:sz w:val="22"/>
          <w:szCs w:val="22"/>
          <w:lang w:eastAsia="zh-TW"/>
        </w:rPr>
        <w:t>9</w:t>
      </w:r>
      <w:r w:rsidR="00867B9D"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月1日前生效)</w:t>
      </w:r>
    </w:p>
    <w:p w14:paraId="2621D337" w14:textId="3700D89C" w:rsidR="00867B9D" w:rsidRPr="000C68FF" w:rsidRDefault="00867B9D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  <w:lang w:eastAsia="zh-TW"/>
        </w:rPr>
      </w:pPr>
      <w:hyperlink r:id="rId16" w:history="1"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可再生能源系統(小型)電網接駁標準</w:t>
        </w:r>
      </w:hyperlink>
      <w:r w:rsidRPr="000C68FF">
        <w:rPr>
          <w:rFonts w:ascii="微軟正黑體" w:eastAsia="微軟正黑體" w:hAnsi="微軟正黑體" w:hint="eastAsia"/>
          <w:color w:val="0000FF"/>
          <w:sz w:val="22"/>
          <w:szCs w:val="22"/>
          <w:lang w:eastAsia="zh-TW"/>
        </w:rPr>
        <w:t xml:space="preserve"> </w:t>
      </w:r>
      <w:r w:rsidRPr="00E54C37">
        <w:rPr>
          <w:rFonts w:ascii="微軟正黑體" w:eastAsia="微軟正黑體" w:hAnsi="微軟正黑體"/>
          <w:sz w:val="22"/>
          <w:szCs w:val="22"/>
          <w:lang w:eastAsia="zh-TW"/>
        </w:rPr>
        <w:t>(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於2026年</w:t>
      </w:r>
      <w:r w:rsidR="00ED2B3A">
        <w:rPr>
          <w:rFonts w:ascii="微軟正黑體" w:eastAsia="微軟正黑體" w:hAnsi="微軟正黑體"/>
          <w:sz w:val="22"/>
          <w:szCs w:val="22"/>
          <w:lang w:eastAsia="zh-TW"/>
        </w:rPr>
        <w:t>3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月</w:t>
      </w:r>
      <w:r w:rsidR="00ED2B3A">
        <w:rPr>
          <w:rFonts w:ascii="微軟正黑體" w:eastAsia="微軟正黑體" w:hAnsi="微軟正黑體"/>
          <w:sz w:val="22"/>
          <w:szCs w:val="22"/>
          <w:lang w:eastAsia="zh-TW"/>
        </w:rPr>
        <w:t>2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日</w:t>
      </w:r>
      <w:r w:rsidR="004C4657"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起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生效)</w:t>
      </w:r>
    </w:p>
    <w:p w14:paraId="4A8C8EA5" w14:textId="6BFC8324" w:rsidR="00867B9D" w:rsidRPr="000C68FF" w:rsidRDefault="00867B9D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  <w:lang w:eastAsia="zh-TW"/>
        </w:rPr>
      </w:pPr>
      <w:hyperlink r:id="rId17" w:history="1"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電池儲能系統電網接駁標準</w:t>
        </w:r>
      </w:hyperlink>
      <w:r w:rsidRPr="000C68FF">
        <w:rPr>
          <w:rFonts w:ascii="微軟正黑體" w:eastAsia="微軟正黑體" w:hAnsi="微軟正黑體"/>
          <w:color w:val="0000FF"/>
          <w:sz w:val="22"/>
          <w:szCs w:val="22"/>
          <w:lang w:eastAsia="zh-TW"/>
        </w:rPr>
        <w:t xml:space="preserve"> </w:t>
      </w:r>
      <w:r w:rsidRPr="00E54C37">
        <w:rPr>
          <w:rFonts w:ascii="微軟正黑體" w:eastAsia="微軟正黑體" w:hAnsi="微軟正黑體"/>
          <w:sz w:val="22"/>
          <w:szCs w:val="22"/>
          <w:lang w:eastAsia="zh-TW"/>
        </w:rPr>
        <w:t>(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於2026年</w:t>
      </w:r>
      <w:r w:rsidR="00ED2B3A">
        <w:rPr>
          <w:rFonts w:ascii="微軟正黑體" w:eastAsia="微軟正黑體" w:hAnsi="微軟正黑體"/>
          <w:sz w:val="22"/>
          <w:szCs w:val="22"/>
          <w:lang w:eastAsia="zh-TW"/>
        </w:rPr>
        <w:t>3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月</w:t>
      </w:r>
      <w:r w:rsidR="00ED2B3A">
        <w:rPr>
          <w:rFonts w:ascii="微軟正黑體" w:eastAsia="微軟正黑體" w:hAnsi="微軟正黑體"/>
          <w:sz w:val="22"/>
          <w:szCs w:val="22"/>
          <w:lang w:eastAsia="zh-TW"/>
        </w:rPr>
        <w:t>2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日</w:t>
      </w:r>
      <w:r w:rsidR="004C4657"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起</w:t>
      </w:r>
      <w:r w:rsidRPr="00E54C37">
        <w:rPr>
          <w:rFonts w:ascii="微軟正黑體" w:eastAsia="微軟正黑體" w:hAnsi="微軟正黑體" w:hint="eastAsia"/>
          <w:sz w:val="22"/>
          <w:szCs w:val="22"/>
          <w:lang w:eastAsia="zh-TW"/>
        </w:rPr>
        <w:t>生效)</w:t>
      </w:r>
    </w:p>
    <w:p w14:paraId="2386EE02" w14:textId="2B19676E" w:rsidR="00EA23F5" w:rsidRPr="000C68FF" w:rsidRDefault="00EA23F5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</w:rPr>
      </w:pPr>
      <w:hyperlink r:id="rId18" w:history="1"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電</w:t>
        </w:r>
        <w:r w:rsidRPr="00D30816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</w:rPr>
          <w:t>錶</w:t>
        </w:r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安裝要求</w:t>
        </w:r>
      </w:hyperlink>
    </w:p>
    <w:p w14:paraId="0A6584E4" w14:textId="4071BAAC" w:rsidR="00EA23F5" w:rsidRPr="000C68FF" w:rsidRDefault="00EA23F5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color w:val="0000FF"/>
          <w:sz w:val="22"/>
          <w:szCs w:val="22"/>
          <w:u w:val="single"/>
          <w:lang w:eastAsia="zh-TW"/>
        </w:rPr>
      </w:pPr>
      <w:hyperlink r:id="rId19" w:history="1"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技術圖則實例</w:t>
        </w:r>
        <w:r w:rsidR="005B10D7"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（</w:t>
        </w:r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在機電工程署指南附錄中</w:t>
        </w:r>
        <w:r w:rsidR="005B10D7"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）</w:t>
        </w:r>
      </w:hyperlink>
    </w:p>
    <w:p w14:paraId="73A7E136" w14:textId="075A988F" w:rsidR="00EA23F5" w:rsidRPr="000C68FF" w:rsidRDefault="00EA23F5" w:rsidP="000C68FF">
      <w:pPr>
        <w:pStyle w:val="BodyText"/>
        <w:numPr>
          <w:ilvl w:val="0"/>
          <w:numId w:val="1"/>
        </w:numPr>
        <w:tabs>
          <w:tab w:val="left" w:pos="654"/>
        </w:tabs>
        <w:spacing w:before="54"/>
        <w:ind w:left="654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在你測試可再生能源系統</w:t>
      </w:r>
      <w:r w:rsidR="007419DF" w:rsidRPr="000C68FF">
        <w:rPr>
          <w:rFonts w:ascii="微軟正黑體" w:eastAsia="微軟正黑體" w:hAnsi="微軟正黑體"/>
          <w:sz w:val="22"/>
          <w:szCs w:val="22"/>
          <w:lang w:eastAsia="zh-TW"/>
        </w:rPr>
        <w:t>/</w:t>
      </w:r>
      <w:r w:rsidR="007419DF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電池儲能系統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前，請向我們提供以下文件</w:t>
      </w:r>
      <w:r w:rsidRPr="000C68FF">
        <w:rPr>
          <w:rFonts w:ascii="微軟正黑體" w:eastAsia="微軟正黑體" w:hAnsi="微軟正黑體" w:cs="新細明體" w:hint="eastAsia"/>
          <w:sz w:val="22"/>
          <w:szCs w:val="22"/>
          <w:lang w:eastAsia="zh-TW"/>
        </w:rPr>
        <w:t>：</w:t>
      </w:r>
    </w:p>
    <w:p w14:paraId="0A77D247" w14:textId="46291310" w:rsidR="00EA23F5" w:rsidRPr="000C68FF" w:rsidRDefault="00EA23F5" w:rsidP="000C68FF">
      <w:pPr>
        <w:pStyle w:val="BodyText"/>
        <w:numPr>
          <w:ilvl w:val="1"/>
          <w:numId w:val="1"/>
        </w:numPr>
        <w:tabs>
          <w:tab w:val="left" w:pos="1374"/>
        </w:tabs>
        <w:ind w:left="1382" w:hanging="547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bookmarkStart w:id="0" w:name="_Hlk216450417"/>
      <w:r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可再生能源系統</w:t>
      </w:r>
      <w:bookmarkEnd w:id="0"/>
      <w:r w:rsidR="00867B9D"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/電池儲能系統</w:t>
      </w:r>
      <w:r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的</w:t>
      </w:r>
      <w:hyperlink r:id="rId20" w:history="1">
        <w:r w:rsidRPr="00D30816">
          <w:rPr>
            <w:rStyle w:val="Hyperlink"/>
            <w:rFonts w:ascii="微軟正黑體" w:eastAsia="微軟正黑體" w:hAnsi="微軟正黑體" w:cs="微軟正黑體" w:hint="eastAsia"/>
            <w:sz w:val="22"/>
            <w:szCs w:val="22"/>
            <w:lang w:eastAsia="zh-TW"/>
          </w:rPr>
          <w:t>操作程序</w:t>
        </w:r>
      </w:hyperlink>
    </w:p>
    <w:p w14:paraId="31CA926F" w14:textId="274FFFA2" w:rsidR="00EA23F5" w:rsidRPr="000C68FF" w:rsidRDefault="00EA23F5" w:rsidP="000C68FF">
      <w:pPr>
        <w:pStyle w:val="BodyText"/>
        <w:numPr>
          <w:ilvl w:val="1"/>
          <w:numId w:val="1"/>
        </w:numPr>
        <w:tabs>
          <w:tab w:val="left" w:pos="1374"/>
        </w:tabs>
        <w:spacing w:before="18"/>
        <w:ind w:left="1382" w:hanging="547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可再生能源系統</w:t>
      </w:r>
      <w:r w:rsidR="00867B9D"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/</w:t>
      </w:r>
      <w:bookmarkStart w:id="1" w:name="_Hlk216450483"/>
      <w:r w:rsidR="00867B9D" w:rsidRPr="000C68FF">
        <w:rPr>
          <w:rFonts w:ascii="微軟正黑體" w:eastAsia="微軟正黑體" w:hAnsi="微軟正黑體" w:hint="eastAsia"/>
          <w:color w:val="000000"/>
          <w:sz w:val="22"/>
          <w:szCs w:val="22"/>
          <w:lang w:eastAsia="zh-TW"/>
        </w:rPr>
        <w:t>電池儲能系統</w:t>
      </w:r>
      <w:bookmarkEnd w:id="1"/>
      <w:r w:rsidR="00D30816"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  <w:fldChar w:fldCharType="begin"/>
      </w:r>
      <w:r w:rsidR="00505A82"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  <w:instrText>HYPERLINK "https://www.clp.com.hk/content/dam/clphk/documents/re-bess/chi/2026_01%20-%20T%20and%20C%20Report%20Template%20(chi).docx"</w:instrText>
      </w:r>
      <w:r w:rsidR="00D30816"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</w:r>
      <w:r w:rsidR="00D30816"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  <w:fldChar w:fldCharType="separate"/>
      </w:r>
      <w:r w:rsidRPr="00D30816">
        <w:rPr>
          <w:rStyle w:val="Hyperlink"/>
          <w:rFonts w:ascii="微軟正黑體" w:eastAsia="微軟正黑體" w:hAnsi="微軟正黑體" w:cs="微軟正黑體" w:hint="eastAsia"/>
          <w:sz w:val="22"/>
          <w:szCs w:val="22"/>
          <w:lang w:eastAsia="zh-TW"/>
        </w:rPr>
        <w:t>測試及</w:t>
      </w:r>
      <w:r w:rsidR="00E454BD" w:rsidRPr="00D30816">
        <w:rPr>
          <w:rStyle w:val="Hyperlink"/>
          <w:rFonts w:ascii="微軟正黑體" w:eastAsia="微軟正黑體" w:hAnsi="微軟正黑體" w:cs="微軟正黑體" w:hint="eastAsia"/>
          <w:sz w:val="22"/>
          <w:szCs w:val="22"/>
          <w:lang w:eastAsia="zh-TW"/>
        </w:rPr>
        <w:t>校驗</w:t>
      </w:r>
      <w:r w:rsidRPr="00D30816">
        <w:rPr>
          <w:rStyle w:val="Hyperlink"/>
          <w:rFonts w:ascii="微軟正黑體" w:eastAsia="微軟正黑體" w:hAnsi="微軟正黑體" w:cs="微軟正黑體" w:hint="eastAsia"/>
          <w:sz w:val="22"/>
          <w:szCs w:val="22"/>
          <w:lang w:eastAsia="zh-TW"/>
        </w:rPr>
        <w:t>程序</w:t>
      </w:r>
      <w:r w:rsidR="00D30816">
        <w:rPr>
          <w:rFonts w:ascii="微軟正黑體" w:eastAsia="微軟正黑體" w:hAnsi="微軟正黑體" w:cs="微軟正黑體"/>
          <w:color w:val="0000FF"/>
          <w:sz w:val="22"/>
          <w:szCs w:val="22"/>
          <w:u w:val="single"/>
          <w:lang w:eastAsia="zh-TW"/>
        </w:rPr>
        <w:fldChar w:fldCharType="end"/>
      </w:r>
    </w:p>
    <w:p w14:paraId="43607F58" w14:textId="0446D5A1" w:rsidR="00EA23F5" w:rsidRPr="000C68FF" w:rsidRDefault="00EA23F5" w:rsidP="000C68FF">
      <w:pPr>
        <w:pStyle w:val="BodyText"/>
        <w:ind w:left="648" w:firstLine="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當客戶提交完整的技術文件</w:t>
      </w:r>
      <w:r w:rsidR="005B10D7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（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如操作程序，測試及</w:t>
      </w:r>
      <w:r w:rsidR="00B67929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校驗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報告</w:t>
      </w:r>
      <w:r w:rsidR="005B10D7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）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後，中電將</w:t>
      </w:r>
      <w:r w:rsidR="005046E7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會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約見客戶實地視察系統測試。</w:t>
      </w:r>
      <w:r w:rsidRPr="000C68FF">
        <w:rPr>
          <w:rFonts w:ascii="微軟正黑體" w:eastAsia="微軟正黑體" w:hAnsi="微軟正黑體"/>
          <w:sz w:val="22"/>
          <w:szCs w:val="22"/>
          <w:lang w:eastAsia="zh-TW"/>
        </w:rPr>
        <w:t xml:space="preserve"> </w:t>
      </w:r>
    </w:p>
    <w:p w14:paraId="7B5DCFA2" w14:textId="0A9DD02A" w:rsidR="007D1DB4" w:rsidRPr="000C68FF" w:rsidRDefault="00EA23F5" w:rsidP="000C68FF">
      <w:pPr>
        <w:pStyle w:val="BodyText"/>
        <w:numPr>
          <w:ilvl w:val="0"/>
          <w:numId w:val="1"/>
        </w:numPr>
        <w:tabs>
          <w:tab w:val="left" w:pos="654"/>
        </w:tabs>
        <w:spacing w:before="200" w:after="100" w:afterAutospacing="1"/>
        <w:ind w:left="652" w:hanging="539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如現場測試結果滿意，我們會與您簽署</w:t>
      </w:r>
      <w:hyperlink r:id="rId21" w:history="1">
        <w:r w:rsidRPr="00D30816">
          <w:rPr>
            <w:rStyle w:val="Hyperlink"/>
            <w:rFonts w:ascii="微軟正黑體" w:eastAsia="微軟正黑體" w:hAnsi="微軟正黑體" w:hint="eastAsia"/>
            <w:sz w:val="22"/>
            <w:szCs w:val="22"/>
            <w:lang w:eastAsia="zh-TW"/>
          </w:rPr>
          <w:t>電網接駁協議書</w:t>
        </w:r>
      </w:hyperlink>
      <w:r w:rsidR="005B10D7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（</w:t>
      </w:r>
      <w:r w:rsidR="00950513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項目</w:t>
      </w:r>
      <w:r w:rsidR="00F55151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1</w:t>
      </w:r>
      <w:r w:rsidR="00F55151" w:rsidRPr="000C68FF">
        <w:rPr>
          <w:rFonts w:ascii="微軟正黑體" w:eastAsia="微軟正黑體" w:hAnsi="微軟正黑體"/>
          <w:sz w:val="22"/>
          <w:szCs w:val="22"/>
          <w:lang w:eastAsia="zh-TW"/>
        </w:rPr>
        <w:t>b</w:t>
      </w:r>
      <w:r w:rsidR="00F55151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適用</w:t>
      </w:r>
      <w:r w:rsidR="005B10D7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）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一經完成，你的可再生能源系統</w:t>
      </w:r>
      <w:r w:rsidR="007419DF" w:rsidRPr="000C68FF">
        <w:rPr>
          <w:rFonts w:ascii="微軟正黑體" w:eastAsia="微軟正黑體" w:hAnsi="微軟正黑體"/>
          <w:sz w:val="22"/>
          <w:szCs w:val="22"/>
          <w:lang w:eastAsia="zh-TW"/>
        </w:rPr>
        <w:t>/</w:t>
      </w:r>
      <w:r w:rsidR="007419DF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電池儲能系統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可連接到中電電網</w:t>
      </w:r>
      <w:r w:rsidR="005125D5" w:rsidRPr="000C68FF">
        <w:rPr>
          <w:rFonts w:ascii="微軟正黑體" w:eastAsia="DengXian" w:hAnsi="微軟正黑體" w:hint="eastAsia"/>
          <w:sz w:val="22"/>
          <w:szCs w:val="22"/>
          <w:lang w:eastAsia="zh-TW"/>
        </w:rPr>
        <w:t>！</w:t>
      </w:r>
    </w:p>
    <w:p w14:paraId="0E1B5A81" w14:textId="77777777" w:rsidR="00ED5F8E" w:rsidRPr="000C68FF" w:rsidRDefault="007A1153" w:rsidP="000C68FF">
      <w:pPr>
        <w:pStyle w:val="BodyText"/>
        <w:tabs>
          <w:tab w:val="left" w:pos="654"/>
        </w:tabs>
        <w:ind w:left="115" w:firstLine="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備註：</w:t>
      </w:r>
    </w:p>
    <w:p w14:paraId="40153CD9" w14:textId="65E5BBE6" w:rsidR="00320065" w:rsidRPr="000C68FF" w:rsidRDefault="007A1153" w:rsidP="000C68FF">
      <w:pPr>
        <w:pStyle w:val="BodyText"/>
        <w:numPr>
          <w:ilvl w:val="2"/>
          <w:numId w:val="1"/>
        </w:numPr>
        <w:tabs>
          <w:tab w:val="left" w:pos="654"/>
          <w:tab w:val="left" w:pos="900"/>
        </w:tabs>
        <w:ind w:firstLine="36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項目</w:t>
      </w:r>
      <w:r w:rsidRPr="000C68FF">
        <w:rPr>
          <w:rFonts w:ascii="微軟正黑體" w:eastAsia="微軟正黑體" w:hAnsi="微軟正黑體"/>
          <w:sz w:val="22"/>
          <w:szCs w:val="22"/>
          <w:lang w:eastAsia="zh-TW"/>
        </w:rPr>
        <w:t>1a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（太陽能和風能系統</w:t>
      </w:r>
      <w:r w:rsidR="007419DF" w:rsidRPr="000C68FF">
        <w:rPr>
          <w:rFonts w:ascii="微軟正黑體" w:eastAsia="微軟正黑體" w:hAnsi="微軟正黑體"/>
          <w:sz w:val="22"/>
          <w:szCs w:val="22"/>
          <w:lang w:eastAsia="zh-TW"/>
        </w:rPr>
        <w:t>/</w:t>
      </w:r>
      <w:r w:rsidR="007419DF"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電池儲能系統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發電容量</w:t>
      </w:r>
      <w:r w:rsidRPr="000C68FF">
        <w:rPr>
          <w:rFonts w:ascii="微軟正黑體" w:eastAsia="微軟正黑體" w:hAnsi="微軟正黑體"/>
          <w:sz w:val="22"/>
          <w:szCs w:val="22"/>
          <w:lang w:eastAsia="zh-TW"/>
        </w:rPr>
        <w:t xml:space="preserve"> </w:t>
      </w:r>
      <w:r w:rsidRPr="000C68FF">
        <w:rPr>
          <w:rFonts w:eastAsia="微軟正黑體" w:cs="Arial"/>
          <w:sz w:val="22"/>
          <w:szCs w:val="22"/>
          <w:lang w:eastAsia="zh-TW"/>
        </w:rPr>
        <w:t>≤</w:t>
      </w:r>
      <w:r w:rsidRPr="000C68FF">
        <w:rPr>
          <w:rFonts w:ascii="微軟正黑體" w:eastAsia="微軟正黑體" w:hAnsi="微軟正黑體"/>
          <w:sz w:val="22"/>
          <w:szCs w:val="22"/>
          <w:lang w:eastAsia="zh-TW"/>
        </w:rPr>
        <w:t>1MW</w:t>
      </w:r>
      <w:r w:rsidRPr="000C68FF">
        <w:rPr>
          <w:rFonts w:ascii="微軟正黑體" w:eastAsia="微軟正黑體" w:hAnsi="微軟正黑體" w:hint="eastAsia"/>
          <w:sz w:val="22"/>
          <w:szCs w:val="22"/>
          <w:lang w:eastAsia="zh-TW"/>
        </w:rPr>
        <w:t>）無需簽署電網接駁協議書</w:t>
      </w:r>
      <w:r w:rsidR="00715173" w:rsidRPr="000C68FF">
        <w:rPr>
          <w:rFonts w:ascii="微軟正黑體" w:eastAsia="微軟正黑體" w:hAnsi="微軟正黑體"/>
          <w:sz w:val="22"/>
          <w:szCs w:val="22"/>
          <w:lang w:eastAsia="zh-TW"/>
        </w:rPr>
        <w:t xml:space="preserve"> </w:t>
      </w:r>
    </w:p>
    <w:p w14:paraId="2AFA903A" w14:textId="34C5D611" w:rsidR="00BA24CA" w:rsidRPr="000C68FF" w:rsidRDefault="00ED5F8E" w:rsidP="000C68FF">
      <w:pPr>
        <w:pStyle w:val="BodyText"/>
        <w:numPr>
          <w:ilvl w:val="2"/>
          <w:numId w:val="1"/>
        </w:numPr>
        <w:tabs>
          <w:tab w:val="left" w:pos="654"/>
          <w:tab w:val="left" w:pos="900"/>
        </w:tabs>
        <w:ind w:firstLine="360"/>
        <w:jc w:val="both"/>
        <w:rPr>
          <w:rFonts w:ascii="微軟正黑體" w:eastAsia="微軟正黑體" w:hAnsi="微軟正黑體"/>
          <w:sz w:val="22"/>
          <w:szCs w:val="22"/>
          <w:lang w:eastAsia="zh-TW"/>
        </w:rPr>
      </w:pPr>
      <w:hyperlink r:id="rId22" w:history="1">
        <w:r w:rsidRPr="000C68FF">
          <w:rPr>
            <w:rStyle w:val="Hyperlink"/>
            <w:rFonts w:ascii="微軟正黑體" w:eastAsia="微軟正黑體" w:hAnsi="微軟正黑體" w:cs="MingLiU"/>
            <w:sz w:val="22"/>
            <w:szCs w:val="22"/>
            <w:lang w:eastAsia="zh-TW"/>
          </w:rPr>
          <w:t>可再生能源系統</w:t>
        </w:r>
        <w:r w:rsidR="00E368A0">
          <w:rPr>
            <w:rStyle w:val="Hyperlink"/>
            <w:rFonts w:ascii="微軟正黑體" w:eastAsia="微軟正黑體" w:hAnsi="微軟正黑體" w:cs="MingLiU"/>
            <w:sz w:val="22"/>
            <w:szCs w:val="22"/>
            <w:lang w:eastAsia="zh-TW"/>
          </w:rPr>
          <w:t>/</w:t>
        </w:r>
        <w:r w:rsidR="00E368A0" w:rsidRPr="00E368A0">
          <w:rPr>
            <w:rStyle w:val="Hyperlink"/>
            <w:rFonts w:ascii="微軟正黑體" w:eastAsia="微軟正黑體" w:hAnsi="微軟正黑體" w:cs="MingLiU" w:hint="eastAsia"/>
            <w:sz w:val="22"/>
            <w:szCs w:val="22"/>
            <w:lang w:eastAsia="zh-TW"/>
          </w:rPr>
          <w:t>電池儲能系統</w:t>
        </w:r>
        <w:r w:rsidRPr="000C68FF">
          <w:rPr>
            <w:rStyle w:val="Hyperlink"/>
            <w:rFonts w:ascii="微軟正黑體" w:eastAsia="微軟正黑體" w:hAnsi="微軟正黑體" w:cs="MingLiU"/>
            <w:sz w:val="22"/>
            <w:szCs w:val="22"/>
            <w:lang w:eastAsia="zh-TW"/>
          </w:rPr>
          <w:t>終止表格</w:t>
        </w:r>
      </w:hyperlink>
    </w:p>
    <w:sectPr w:rsidR="00BA24CA" w:rsidRPr="000C68FF" w:rsidSect="00EA23F5">
      <w:footerReference w:type="default" r:id="rId23"/>
      <w:pgSz w:w="14400" w:h="10800" w:orient="landscape"/>
      <w:pgMar w:top="700" w:right="10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BE2E" w14:textId="77777777" w:rsidR="00231A88" w:rsidRDefault="00231A88" w:rsidP="006973C4">
      <w:r>
        <w:separator/>
      </w:r>
    </w:p>
  </w:endnote>
  <w:endnote w:type="continuationSeparator" w:id="0">
    <w:p w14:paraId="3A508E87" w14:textId="77777777" w:rsidR="00231A88" w:rsidRDefault="00231A88" w:rsidP="006973C4">
      <w:r>
        <w:continuationSeparator/>
      </w:r>
    </w:p>
  </w:endnote>
  <w:endnote w:type="continuationNotice" w:id="1">
    <w:p w14:paraId="0F60BE65" w14:textId="77777777" w:rsidR="00231A88" w:rsidRDefault="00231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40902020509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05"/>
      <w:gridCol w:w="4305"/>
      <w:gridCol w:w="4305"/>
    </w:tblGrid>
    <w:tr w:rsidR="279D45AA" w14:paraId="71BF6F86" w14:textId="77777777" w:rsidTr="00D5347F">
      <w:trPr>
        <w:trHeight w:val="300"/>
      </w:trPr>
      <w:tc>
        <w:tcPr>
          <w:tcW w:w="4305" w:type="dxa"/>
        </w:tcPr>
        <w:p w14:paraId="0A0BA18E" w14:textId="39846902" w:rsidR="279D45AA" w:rsidRDefault="279D45AA" w:rsidP="00D5347F">
          <w:pPr>
            <w:pStyle w:val="Header"/>
            <w:ind w:left="-115"/>
          </w:pPr>
        </w:p>
      </w:tc>
      <w:tc>
        <w:tcPr>
          <w:tcW w:w="4305" w:type="dxa"/>
        </w:tcPr>
        <w:p w14:paraId="510EEA81" w14:textId="5D65D349" w:rsidR="279D45AA" w:rsidRDefault="279D45AA" w:rsidP="00D5347F">
          <w:pPr>
            <w:pStyle w:val="Header"/>
            <w:jc w:val="center"/>
          </w:pPr>
        </w:p>
      </w:tc>
      <w:tc>
        <w:tcPr>
          <w:tcW w:w="4305" w:type="dxa"/>
        </w:tcPr>
        <w:p w14:paraId="5C488C4C" w14:textId="4CF6BF69" w:rsidR="279D45AA" w:rsidRDefault="279D45AA" w:rsidP="00D5347F">
          <w:pPr>
            <w:pStyle w:val="Header"/>
            <w:ind w:right="-115"/>
            <w:jc w:val="right"/>
          </w:pPr>
        </w:p>
      </w:tc>
    </w:tr>
  </w:tbl>
  <w:p w14:paraId="25A6F719" w14:textId="430E5907" w:rsidR="279D45AA" w:rsidRDefault="279D45AA" w:rsidP="00D53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41A0" w14:textId="77777777" w:rsidR="00231A88" w:rsidRDefault="00231A88" w:rsidP="006973C4">
      <w:r>
        <w:separator/>
      </w:r>
    </w:p>
  </w:footnote>
  <w:footnote w:type="continuationSeparator" w:id="0">
    <w:p w14:paraId="711D1285" w14:textId="77777777" w:rsidR="00231A88" w:rsidRDefault="00231A88" w:rsidP="006973C4">
      <w:r>
        <w:continuationSeparator/>
      </w:r>
    </w:p>
  </w:footnote>
  <w:footnote w:type="continuationNotice" w:id="1">
    <w:p w14:paraId="0CA54235" w14:textId="77777777" w:rsidR="00231A88" w:rsidRDefault="00231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B395A"/>
    <w:multiLevelType w:val="hybridMultilevel"/>
    <w:tmpl w:val="A31AC1B4"/>
    <w:lvl w:ilvl="0" w:tplc="A87E861E">
      <w:start w:val="1"/>
      <w:numFmt w:val="decimal"/>
      <w:lvlText w:val="%1."/>
      <w:lvlJc w:val="left"/>
      <w:pPr>
        <w:ind w:hanging="540"/>
      </w:pPr>
      <w:rPr>
        <w:rFonts w:ascii="Arial" w:eastAsia="Arial" w:hAnsi="Arial" w:hint="default"/>
        <w:spacing w:val="-1"/>
        <w:sz w:val="28"/>
        <w:szCs w:val="36"/>
      </w:rPr>
    </w:lvl>
    <w:lvl w:ilvl="1" w:tplc="ACBC207C">
      <w:start w:val="1"/>
      <w:numFmt w:val="lowerRoman"/>
      <w:lvlText w:val="%2."/>
      <w:lvlJc w:val="righ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360" w:hanging="360"/>
      </w:pPr>
    </w:lvl>
    <w:lvl w:ilvl="3" w:tplc="0409001B">
      <w:start w:val="1"/>
      <w:numFmt w:val="lowerRoman"/>
      <w:lvlText w:val="%4."/>
      <w:lvlJc w:val="right"/>
      <w:pPr>
        <w:ind w:left="360" w:hanging="360"/>
      </w:pPr>
    </w:lvl>
    <w:lvl w:ilvl="4" w:tplc="0FD0EC2C">
      <w:start w:val="1"/>
      <w:numFmt w:val="bullet"/>
      <w:lvlText w:val="•"/>
      <w:lvlJc w:val="left"/>
      <w:rPr>
        <w:rFonts w:hint="default"/>
      </w:rPr>
    </w:lvl>
    <w:lvl w:ilvl="5" w:tplc="14545F7A">
      <w:start w:val="1"/>
      <w:numFmt w:val="bullet"/>
      <w:lvlText w:val="•"/>
      <w:lvlJc w:val="left"/>
      <w:rPr>
        <w:rFonts w:hint="default"/>
      </w:rPr>
    </w:lvl>
    <w:lvl w:ilvl="6" w:tplc="64568F2C">
      <w:start w:val="1"/>
      <w:numFmt w:val="bullet"/>
      <w:lvlText w:val="•"/>
      <w:lvlJc w:val="left"/>
      <w:rPr>
        <w:rFonts w:hint="default"/>
      </w:rPr>
    </w:lvl>
    <w:lvl w:ilvl="7" w:tplc="0409001B">
      <w:start w:val="1"/>
      <w:numFmt w:val="lowerRoman"/>
      <w:lvlText w:val="%8."/>
      <w:lvlJc w:val="right"/>
      <w:pPr>
        <w:ind w:left="360" w:hanging="360"/>
      </w:pPr>
    </w:lvl>
    <w:lvl w:ilvl="8" w:tplc="E848B238">
      <w:start w:val="1"/>
      <w:numFmt w:val="bullet"/>
      <w:lvlText w:val="•"/>
      <w:lvlJc w:val="left"/>
      <w:rPr>
        <w:rFonts w:hint="default"/>
      </w:rPr>
    </w:lvl>
  </w:abstractNum>
  <w:num w:numId="1" w16cid:durableId="164924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5"/>
    <w:rsid w:val="00026EBB"/>
    <w:rsid w:val="000346D4"/>
    <w:rsid w:val="00037701"/>
    <w:rsid w:val="0005174C"/>
    <w:rsid w:val="000605BA"/>
    <w:rsid w:val="00060C12"/>
    <w:rsid w:val="00065E46"/>
    <w:rsid w:val="00067F8A"/>
    <w:rsid w:val="00092E4D"/>
    <w:rsid w:val="000A5476"/>
    <w:rsid w:val="000C2AD1"/>
    <w:rsid w:val="000C68FF"/>
    <w:rsid w:val="00106B30"/>
    <w:rsid w:val="00110DCC"/>
    <w:rsid w:val="00112147"/>
    <w:rsid w:val="0011790F"/>
    <w:rsid w:val="0012393A"/>
    <w:rsid w:val="0012783B"/>
    <w:rsid w:val="001306CC"/>
    <w:rsid w:val="00150E74"/>
    <w:rsid w:val="0015526F"/>
    <w:rsid w:val="0017024D"/>
    <w:rsid w:val="00181A8E"/>
    <w:rsid w:val="001C0205"/>
    <w:rsid w:val="001E079F"/>
    <w:rsid w:val="001F2A8A"/>
    <w:rsid w:val="0020238F"/>
    <w:rsid w:val="00223531"/>
    <w:rsid w:val="002262F6"/>
    <w:rsid w:val="00231A88"/>
    <w:rsid w:val="002549F2"/>
    <w:rsid w:val="00254BBE"/>
    <w:rsid w:val="00266C92"/>
    <w:rsid w:val="0027381E"/>
    <w:rsid w:val="00277B8F"/>
    <w:rsid w:val="00281FA1"/>
    <w:rsid w:val="00292D15"/>
    <w:rsid w:val="00297522"/>
    <w:rsid w:val="002A4089"/>
    <w:rsid w:val="002E553C"/>
    <w:rsid w:val="0030145B"/>
    <w:rsid w:val="00320065"/>
    <w:rsid w:val="00332091"/>
    <w:rsid w:val="0035181C"/>
    <w:rsid w:val="00353E50"/>
    <w:rsid w:val="0036720A"/>
    <w:rsid w:val="00387CC3"/>
    <w:rsid w:val="003A3EA6"/>
    <w:rsid w:val="003A5C51"/>
    <w:rsid w:val="003A7756"/>
    <w:rsid w:val="003B14C5"/>
    <w:rsid w:val="003C7AC8"/>
    <w:rsid w:val="003F00C4"/>
    <w:rsid w:val="00431503"/>
    <w:rsid w:val="0046629A"/>
    <w:rsid w:val="00493509"/>
    <w:rsid w:val="00496CC4"/>
    <w:rsid w:val="004C174A"/>
    <w:rsid w:val="004C4657"/>
    <w:rsid w:val="004E29DD"/>
    <w:rsid w:val="005046E7"/>
    <w:rsid w:val="00505A82"/>
    <w:rsid w:val="005125D5"/>
    <w:rsid w:val="00521490"/>
    <w:rsid w:val="00537CFE"/>
    <w:rsid w:val="0054344E"/>
    <w:rsid w:val="00544A8A"/>
    <w:rsid w:val="005506FC"/>
    <w:rsid w:val="00560A28"/>
    <w:rsid w:val="00592628"/>
    <w:rsid w:val="00597C44"/>
    <w:rsid w:val="005A711B"/>
    <w:rsid w:val="005B10D7"/>
    <w:rsid w:val="005B140F"/>
    <w:rsid w:val="005C178E"/>
    <w:rsid w:val="005D6738"/>
    <w:rsid w:val="00601FCB"/>
    <w:rsid w:val="0062414F"/>
    <w:rsid w:val="00636FDD"/>
    <w:rsid w:val="00643D3D"/>
    <w:rsid w:val="00664713"/>
    <w:rsid w:val="00690B4C"/>
    <w:rsid w:val="006969AA"/>
    <w:rsid w:val="006973C4"/>
    <w:rsid w:val="006A2BC3"/>
    <w:rsid w:val="006B615D"/>
    <w:rsid w:val="006D7930"/>
    <w:rsid w:val="006F4F7A"/>
    <w:rsid w:val="00701F82"/>
    <w:rsid w:val="00707B94"/>
    <w:rsid w:val="0071298D"/>
    <w:rsid w:val="00715173"/>
    <w:rsid w:val="00732C64"/>
    <w:rsid w:val="007419DF"/>
    <w:rsid w:val="00762311"/>
    <w:rsid w:val="00762941"/>
    <w:rsid w:val="0076526F"/>
    <w:rsid w:val="00791A7F"/>
    <w:rsid w:val="007931CF"/>
    <w:rsid w:val="007A1153"/>
    <w:rsid w:val="007A1B00"/>
    <w:rsid w:val="007A390F"/>
    <w:rsid w:val="007D1DB4"/>
    <w:rsid w:val="00830986"/>
    <w:rsid w:val="008373C4"/>
    <w:rsid w:val="008450B8"/>
    <w:rsid w:val="00845307"/>
    <w:rsid w:val="0086607D"/>
    <w:rsid w:val="00867B9D"/>
    <w:rsid w:val="0088362F"/>
    <w:rsid w:val="008B0854"/>
    <w:rsid w:val="008C2EF5"/>
    <w:rsid w:val="00912346"/>
    <w:rsid w:val="00950513"/>
    <w:rsid w:val="00952D41"/>
    <w:rsid w:val="009A0BD4"/>
    <w:rsid w:val="009A3857"/>
    <w:rsid w:val="009A49CA"/>
    <w:rsid w:val="009C7835"/>
    <w:rsid w:val="009E22A9"/>
    <w:rsid w:val="009F5952"/>
    <w:rsid w:val="009F71BF"/>
    <w:rsid w:val="009F7F30"/>
    <w:rsid w:val="00A14C85"/>
    <w:rsid w:val="00A277D0"/>
    <w:rsid w:val="00A43D23"/>
    <w:rsid w:val="00A74FBB"/>
    <w:rsid w:val="00A809D4"/>
    <w:rsid w:val="00A822D0"/>
    <w:rsid w:val="00A932FF"/>
    <w:rsid w:val="00AA06D9"/>
    <w:rsid w:val="00AF6A6A"/>
    <w:rsid w:val="00B328A8"/>
    <w:rsid w:val="00B41E11"/>
    <w:rsid w:val="00B47112"/>
    <w:rsid w:val="00B61C83"/>
    <w:rsid w:val="00B64308"/>
    <w:rsid w:val="00B67929"/>
    <w:rsid w:val="00B86B0C"/>
    <w:rsid w:val="00BA0EB8"/>
    <w:rsid w:val="00BA24CA"/>
    <w:rsid w:val="00BB4E84"/>
    <w:rsid w:val="00BC1BCC"/>
    <w:rsid w:val="00BC44BA"/>
    <w:rsid w:val="00BC5977"/>
    <w:rsid w:val="00BE02A7"/>
    <w:rsid w:val="00BE3282"/>
    <w:rsid w:val="00C21E0D"/>
    <w:rsid w:val="00C21EBF"/>
    <w:rsid w:val="00C93C78"/>
    <w:rsid w:val="00C95306"/>
    <w:rsid w:val="00CB0733"/>
    <w:rsid w:val="00CB1055"/>
    <w:rsid w:val="00CC20EB"/>
    <w:rsid w:val="00CE040F"/>
    <w:rsid w:val="00D06716"/>
    <w:rsid w:val="00D269E4"/>
    <w:rsid w:val="00D30816"/>
    <w:rsid w:val="00D5347F"/>
    <w:rsid w:val="00D5426A"/>
    <w:rsid w:val="00D6406A"/>
    <w:rsid w:val="00DD3A16"/>
    <w:rsid w:val="00DE2B12"/>
    <w:rsid w:val="00DF4D50"/>
    <w:rsid w:val="00E368A0"/>
    <w:rsid w:val="00E454BD"/>
    <w:rsid w:val="00E54C37"/>
    <w:rsid w:val="00E77C8B"/>
    <w:rsid w:val="00E87C0E"/>
    <w:rsid w:val="00EA23F5"/>
    <w:rsid w:val="00EB2138"/>
    <w:rsid w:val="00EB637A"/>
    <w:rsid w:val="00EB739F"/>
    <w:rsid w:val="00ED2B3A"/>
    <w:rsid w:val="00ED5F8E"/>
    <w:rsid w:val="00EF39D4"/>
    <w:rsid w:val="00F014AF"/>
    <w:rsid w:val="00F179B7"/>
    <w:rsid w:val="00F55151"/>
    <w:rsid w:val="00F90D8A"/>
    <w:rsid w:val="00FB19FF"/>
    <w:rsid w:val="00FE4E2F"/>
    <w:rsid w:val="279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FB6D4"/>
  <w15:chartTrackingRefBased/>
  <w15:docId w15:val="{E656584E-CA29-42EE-8C4B-2D447B78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23F5"/>
    <w:pPr>
      <w:widowControl w:val="0"/>
      <w:spacing w:after="0" w:line="240" w:lineRule="auto"/>
    </w:pPr>
    <w:rPr>
      <w:rFonts w:eastAsia="新細明體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23F5"/>
    <w:pPr>
      <w:ind w:left="1374" w:hanging="540"/>
    </w:pPr>
    <w:rPr>
      <w:rFonts w:ascii="Arial" w:eastAsia="Arial" w:hAnsi="Arial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A23F5"/>
    <w:rPr>
      <w:rFonts w:ascii="Arial" w:eastAsia="Arial" w:hAnsi="Arial"/>
      <w:sz w:val="36"/>
      <w:szCs w:val="3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A23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B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3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3C4"/>
    <w:rPr>
      <w:rFonts w:eastAsia="新細明體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973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3C4"/>
    <w:rPr>
      <w:rFonts w:eastAsia="新細明體"/>
      <w:lang w:val="en-US" w:eastAsia="en-US"/>
    </w:rPr>
  </w:style>
  <w:style w:type="paragraph" w:styleId="Revision">
    <w:name w:val="Revision"/>
    <w:hidden/>
    <w:uiPriority w:val="99"/>
    <w:semiHidden/>
    <w:rsid w:val="00DF4D50"/>
    <w:pPr>
      <w:spacing w:after="0" w:line="240" w:lineRule="auto"/>
    </w:pPr>
    <w:rPr>
      <w:rFonts w:eastAsia="新細明體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5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151"/>
    <w:rPr>
      <w:rFonts w:eastAsia="新細明體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151"/>
    <w:rPr>
      <w:rFonts w:eastAsia="新細明體"/>
      <w:b/>
      <w:bCs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8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81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7381E"/>
  </w:style>
  <w:style w:type="paragraph" w:styleId="ListParagraph">
    <w:name w:val="List Paragraph"/>
    <w:basedOn w:val="Normal"/>
    <w:uiPriority w:val="34"/>
    <w:qFormat/>
    <w:rsid w:val="0027381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p.com.hk/content/dam/clphk/documents/re-bess/chi/202601%20RE_BESS%20Connection%20Application%20Form%20Chinese.pdf" TargetMode="External"/><Relationship Id="rId18" Type="http://schemas.openxmlformats.org/officeDocument/2006/relationships/hyperlink" Target="https://www.clp.com.hk/content/dam/clphk/documents/community-and-environment-site/FiT%20Standard%20Metering%20Requirement%20(Chi)%20(09.08.24)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lp.com.hk/content/dam/clphk/documents/re-bess/chi/2026_01%20-%20GCA%20(Chi)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clp.com.hk/content/dam/clphk/documents/re-bess/chi/202601%20RE_BESS%20Non-FiT%20Standard%20Application%20Form%20(Chi).pdf" TargetMode="External"/><Relationship Id="rId17" Type="http://schemas.openxmlformats.org/officeDocument/2006/relationships/hyperlink" Target="https://www.clp.com.hk/content/dam/clphk/documents/re-bess/eng/PS-COP-0303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lp.com.hk/content/dam/clphk/documents/re-bess/eng/PS-COP-0302.pdf" TargetMode="External"/><Relationship Id="rId20" Type="http://schemas.openxmlformats.org/officeDocument/2006/relationships/hyperlink" Target="https://www.clp.com.hk/content/dam/clphk/documents/re-bess/chi/2026_01%20-%20RE_BESS%20Operation%20Procedure%20Template%20(Chi)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lp.com.hk/content/dam/clphk/documents/re-bess/eng/2024_08%20-%20Grid%20Connection%20Requirements.pdf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re.emsd.gov.hk/files/technical_guidelines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lp.com.hk/content/dam/clphk/documents/re-bess/chi/2026_01%20-%20Technical%20Design%20Notes%20for%20Grid%20Connection%20of%20General(chi).pdf" TargetMode="External"/><Relationship Id="rId22" Type="http://schemas.openxmlformats.org/officeDocument/2006/relationships/hyperlink" Target="https://www.clp.com.hk/content/dam/clphk/documents/re-bess/eng/2026_01%20-%20RE%20Termination%20Application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58fc1b0-b1c5-4697-b088-1958db88b292" xsi:nil="true"/>
    <_dlc_DocId xmlns="d58fc1b0-b1c5-4697-b088-1958db88b292">PHQRAUASAN6T-1556235237-1359626</_dlc_DocId>
    <_dlc_DocIdUrl xmlns="d58fc1b0-b1c5-4697-b088-1958db88b292">
      <Url>https://clpgroup.sharepoint.com/sites/sp_org_teams_clpp_psbg_amd_np/_layouts/15/DocIdRedir.aspx?ID=PHQRAUASAN6T-1556235237-1359626</Url>
      <Description>PHQRAUASAN6T-1556235237-1359626</Description>
    </_dlc_DocIdUrl>
    <_Flow_SignoffStatus xmlns="3a51f692-5603-4015-8b32-38f34dd11e46" xsi:nil="true"/>
    <TaxCatchAll xmlns="d58fc1b0-b1c5-4697-b088-1958db88b292" xsi:nil="true"/>
    <lcf76f155ced4ddcb4097134ff3c332f xmlns="3a51f692-5603-4015-8b32-38f34dd11e4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F26619F3D194BBAE89FF91DE2DC64" ma:contentTypeVersion="19" ma:contentTypeDescription="Create a new document." ma:contentTypeScope="" ma:versionID="97944d5f26e6ffd9719a4764475c4cd4">
  <xsd:schema xmlns:xsd="http://www.w3.org/2001/XMLSchema" xmlns:xs="http://www.w3.org/2001/XMLSchema" xmlns:p="http://schemas.microsoft.com/office/2006/metadata/properties" xmlns:ns2="d58fc1b0-b1c5-4697-b088-1958db88b292" xmlns:ns3="3a51f692-5603-4015-8b32-38f34dd11e46" targetNamespace="http://schemas.microsoft.com/office/2006/metadata/properties" ma:root="true" ma:fieldsID="4e0ba35486e3f563f1a7b29339a69e5e" ns2:_="" ns3:_="">
    <xsd:import namespace="d58fc1b0-b1c5-4697-b088-1958db88b292"/>
    <xsd:import namespace="3a51f692-5603-4015-8b32-38f34dd11e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c1b0-b1c5-4697-b088-1958db88b2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3" nillable="true" ma:displayName="Taxonomy Catch All Column" ma:hidden="true" ma:list="{f9904e89-a68b-497e-b9dd-00bfc10ea42c}" ma:internalName="TaxCatchAll" ma:showField="CatchAllData" ma:web="d58fc1b0-b1c5-4697-b088-1958db88b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f692-5603-4015-8b32-38f34dd11e4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B1E74-4756-44D6-B600-91600EDC9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4CA179-67ED-4812-A35E-1164079DD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05CC3-C0D7-421E-8C34-61CEF9AFB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8BF962-0B29-4101-B738-9F68DAD3DF13}">
  <ds:schemaRefs>
    <ds:schemaRef ds:uri="http://schemas.microsoft.com/office/2006/metadata/properties"/>
    <ds:schemaRef ds:uri="http://schemas.microsoft.com/office/infopath/2007/PartnerControls"/>
    <ds:schemaRef ds:uri="d58fc1b0-b1c5-4697-b088-1958db88b292"/>
    <ds:schemaRef ds:uri="3a51f692-5603-4015-8b32-38f34dd11e46"/>
  </ds:schemaRefs>
</ds:datastoreItem>
</file>

<file path=customXml/itemProps5.xml><?xml version="1.0" encoding="utf-8"?>
<ds:datastoreItem xmlns:ds="http://schemas.openxmlformats.org/officeDocument/2006/customXml" ds:itemID="{17858D73-A4C0-474D-A65A-F2718BC84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c1b0-b1c5-4697-b088-1958db88b292"/>
    <ds:schemaRef ds:uri="3a51f692-5603-4015-8b32-38f34dd11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981</Words>
  <Characters>1060</Characters>
  <Application>Microsoft Office Word</Application>
  <DocSecurity>0</DocSecurity>
  <Lines>44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 Power Hong Kong Ltd.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To, Tracy Yee Yan</dc:creator>
  <cp:keywords/>
  <dc:description/>
  <cp:lastModifiedBy>Wu, Ka Sing</cp:lastModifiedBy>
  <cp:revision>101</cp:revision>
  <dcterms:created xsi:type="dcterms:W3CDTF">2021-07-30T08:50:00Z</dcterms:created>
  <dcterms:modified xsi:type="dcterms:W3CDTF">2026-03-03T07:44:00Z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2018-03-08T00:00:00Z</vt:filetime>
  </property>
  <property fmtid="{D5CDD505-2E9C-101B-9397-08002B2CF9AE}" pid="3" name="Created">
    <vt:filetime>2015-09-04T00:00:00Z</vt:filetime>
  </property>
  <property fmtid="{D5CDD505-2E9C-101B-9397-08002B2CF9AE}" pid="4" name="ContentTypeId">
    <vt:lpwstr>0x010100559F26619F3D194BBAE89FF91DE2DC64</vt:lpwstr>
  </property>
  <property fmtid="{D5CDD505-2E9C-101B-9397-08002B2CF9AE}" pid="5" name="_dlc_DocIdItemGuid">
    <vt:lpwstr>70a92e27-7f6f-4c45-84f7-07bbec78a74d</vt:lpwstr>
  </property>
  <property fmtid="{D5CDD505-2E9C-101B-9397-08002B2CF9AE}" pid="6" name="MediaServiceImageTags">
    <vt:lpwstr/>
  </property>
</Properties>
</file>